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dal padre Daniele per la festa degli oratori del 1996.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tema dell’anno era “Don Bosco saltimbanqui”, la storia del piccolo Giovannino che per avvicinare i ragazzi e allontanarli dal male si destreggia in giocoleria e acrobazie.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Allo stesso modo i catechisti erano invitati a conquistare i piú giovani con l'allegria sana dell’oratorio.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padre Daniele questo tema della festa era piaciuto moltissimo.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lui suonare era una maniera per avvicinare i ragazzi, farli riflettere, contagiare la gioia, ma anche accompagnarli verso il bene. Aveva a cuore l’anima dei giovani e come suggerivano don Bosco e il padre Ugo, voleva mettere al servizio il suo talento per non far assorbire i più fragili dal male e dal mondo pieno di falsità e ipocrisia.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uno dei canti più cari al padre Daniele e agli oratoriani di quegli anni.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 riflettere l’ultima strofa, dove nell'entusiasmo del canto coi gesti si ricorda il salto finale, quello mortale e lì poter gridare con tutte le proprie forze: “Cara Vergine Maria, non mi abbandonare!”.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“En la prueba has confiado sólo en la Mamá,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debo confiar ¡Sí! Me ayudarás.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Tengo miedo, a ti rezo, querida Mamá: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salto mortal, ¡no me abandonar!”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Probabilmente, in linea di tempo, è tra gli ultimi canti scritti dal padre Daniele prima di essere ucciso nel marzo del 1997.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I3qSD3ANGQ/DIR3tfgQkdwI0kg==">CgMxLjA4AHIhMVNVQ1AzSkx5My1vT1RyTW1iU2ktS3prdHgtQjhBN2xZ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